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0" w:rsidRDefault="001733A3"/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B22222"/>
          <w:kern w:val="36"/>
          <w:sz w:val="41"/>
          <w:szCs w:val="41"/>
          <w:lang w:eastAsia="ru-RU"/>
        </w:rPr>
        <w:t>Советы психолога о ВПР родителям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 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Ситуация проверки практически всегда стрессовая ситуация для многих людей. Как же помочь своему ребенку в подобной ситуации?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К сожалению, многие родители совершают ошибки в ходе подготовки своего ребенка к таким процедурам.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i/>
          <w:iCs/>
          <w:color w:val="0000FF"/>
          <w:kern w:val="36"/>
          <w:sz w:val="41"/>
          <w:lang w:eastAsia="ru-RU"/>
        </w:rPr>
        <w:t>Типичные родительские ошибки в ходе подготовки Всероссийской проверочной работе.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2. Очень часто родители используют запугивание и «страшилки», обещая бед в настоящем и будущем, которые грозят при получении низкой оценки на ВПР, - это плохие помощник и в преодолении стресса.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3. Еще одна весьма распространенная родительская ошибка – это сравнивание своего ребенка с более успешными сверстниками, старшими братьями и </w:t>
      </w: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5. 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i/>
          <w:iCs/>
          <w:color w:val="0000CD"/>
          <w:kern w:val="36"/>
          <w:sz w:val="41"/>
          <w:lang w:eastAsia="ru-RU"/>
        </w:rPr>
        <w:t>Как же помочь ребенку подготовиться к ВПР?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Важнейший фактор, определяющий успешность Вашего ребенка в ВПР – это </w:t>
      </w: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психологическая поддержка. Поддерживать ребенка – значит верить в него.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Поддерживать можно также посредством прикосновений, совместных действий, физического соучастия, выражения лица.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i/>
          <w:iCs/>
          <w:color w:val="0000CD"/>
          <w:kern w:val="36"/>
          <w:sz w:val="41"/>
          <w:lang w:eastAsia="ru-RU"/>
        </w:rPr>
        <w:t>Организация режима дня и питания во время подготовки к ВПР.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Необходимо позаботиться об организации режима дня и полноценного питания! Такие </w:t>
      </w: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продукты, как рыба, творог, орехи, курага и т. д. стимулируют работу головного мозга.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Старайтесь не допускать перегрузок ребенка. Следите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i/>
          <w:iCs/>
          <w:color w:val="000080"/>
          <w:kern w:val="36"/>
          <w:sz w:val="41"/>
          <w:lang w:eastAsia="ru-RU"/>
        </w:rPr>
        <w:t>Рекомендации по подготовке к ВПР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Подготовьте различные варианты заданий по предмету.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Помогите детям распределить темы подготовки по дням.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Основные формулы и определения можно выписать на листочках и повесить над письменным столом, над кроватью, в столовой и т.д.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i/>
          <w:iCs/>
          <w:color w:val="0000CD"/>
          <w:kern w:val="36"/>
          <w:sz w:val="41"/>
          <w:lang w:eastAsia="ru-RU"/>
        </w:rPr>
        <w:t>Рекомендации по заучиванию материала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Главное - распределение повторений во времени.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Повторять рекомендуется сразу в течение 15-20 минут, через 8-9 часов и через 24 часа.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proofErr w:type="spellStart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o</w:t>
      </w:r>
      <w:proofErr w:type="spellEnd"/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 xml:space="preserve">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0000CD"/>
          <w:kern w:val="36"/>
          <w:sz w:val="41"/>
          <w:szCs w:val="41"/>
          <w:lang w:eastAsia="ru-RU"/>
        </w:rPr>
        <w:t>Как избежать ошибок на ВПР?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Посоветуйте детям во время проверочной работы обратить внимание на следующее: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предполагают ответ и торопятся его вписать).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3. Рекомендуется начинать с более легких заданий, чтобы не тратить на них время.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4. Если не знаешь ответа на вопрос или не уверен, пропусти его и отметь, чтобы потом к нему вернуться.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0000CD"/>
          <w:kern w:val="36"/>
          <w:sz w:val="41"/>
          <w:szCs w:val="41"/>
          <w:lang w:eastAsia="ru-RU"/>
        </w:rPr>
        <w:t>Как снять стресс перед ВПР?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0000CD"/>
          <w:kern w:val="36"/>
          <w:sz w:val="41"/>
          <w:szCs w:val="41"/>
          <w:lang w:eastAsia="ru-RU"/>
        </w:rPr>
        <w:t>Накануне ВПР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• С утра перед ВПР можно дать ребёнку шоколадку, т.к. глюкоза стимулирует мозговую деятельность!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• Если ребенок не носит часов, дайте ему часы на ВПР. Это поможет ему следить за временем на ВПР.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• Согласуйте с ребенком возможный и достаточный результат ВПР, не настраивайте его только на максимальный, но мало достижимый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after="0" w:line="495" w:lineRule="atLeast"/>
        <w:jc w:val="center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0000CD"/>
          <w:kern w:val="36"/>
          <w:sz w:val="41"/>
          <w:szCs w:val="41"/>
          <w:lang w:eastAsia="ru-RU"/>
        </w:rPr>
        <w:t>После ВПР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after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lastRenderedPageBreak/>
        <w:t>• В случае неудачи ребенка на ВПР не паникуйте, не устраивайте истерику и воздержитесь от обвинений.</w:t>
      </w:r>
    </w:p>
    <w:p w:rsidR="001733A3" w:rsidRPr="001733A3" w:rsidRDefault="001733A3" w:rsidP="001733A3">
      <w:pPr>
        <w:pBdr>
          <w:bottom w:val="single" w:sz="6" w:space="0" w:color="D6DDB9"/>
        </w:pBdr>
        <w:shd w:val="clear" w:color="auto" w:fill="F0F8FC"/>
        <w:spacing w:before="120" w:line="495" w:lineRule="atLeast"/>
        <w:outlineLvl w:val="0"/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</w:pPr>
      <w:r w:rsidRPr="001733A3">
        <w:rPr>
          <w:rFonts w:ascii="Trebuchet MS" w:eastAsia="Times New Roman" w:hAnsi="Trebuchet MS" w:cs="Arial"/>
          <w:b/>
          <w:bCs/>
          <w:color w:val="222222"/>
          <w:kern w:val="36"/>
          <w:sz w:val="41"/>
          <w:szCs w:val="41"/>
          <w:lang w:eastAsia="ru-RU"/>
        </w:rPr>
        <w:t>• Найдите слова, которые позволят ребенку улыбнуться, расслабиться снять напряжение.</w:t>
      </w:r>
    </w:p>
    <w:p w:rsidR="001733A3" w:rsidRDefault="001733A3"/>
    <w:sectPr w:rsidR="001733A3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3A3"/>
    <w:rsid w:val="00130B26"/>
    <w:rsid w:val="001733A3"/>
    <w:rsid w:val="001A16DE"/>
    <w:rsid w:val="001B0E7D"/>
    <w:rsid w:val="00245DF3"/>
    <w:rsid w:val="00462CA3"/>
    <w:rsid w:val="0048376F"/>
    <w:rsid w:val="004C6A43"/>
    <w:rsid w:val="005042B6"/>
    <w:rsid w:val="00520EFA"/>
    <w:rsid w:val="0053669D"/>
    <w:rsid w:val="0058124E"/>
    <w:rsid w:val="005F2AF5"/>
    <w:rsid w:val="00640877"/>
    <w:rsid w:val="00735624"/>
    <w:rsid w:val="00744FAD"/>
    <w:rsid w:val="007A2D07"/>
    <w:rsid w:val="007C6DD8"/>
    <w:rsid w:val="007D7706"/>
    <w:rsid w:val="008261A6"/>
    <w:rsid w:val="00832C78"/>
    <w:rsid w:val="00940105"/>
    <w:rsid w:val="00A74BFA"/>
    <w:rsid w:val="00A91629"/>
    <w:rsid w:val="00AC2338"/>
    <w:rsid w:val="00B06610"/>
    <w:rsid w:val="00B776B3"/>
    <w:rsid w:val="00B77BEF"/>
    <w:rsid w:val="00BA72AD"/>
    <w:rsid w:val="00BF614D"/>
    <w:rsid w:val="00C93E5F"/>
    <w:rsid w:val="00D03275"/>
    <w:rsid w:val="00E12139"/>
    <w:rsid w:val="00E12F76"/>
    <w:rsid w:val="00E15C11"/>
    <w:rsid w:val="00E716D6"/>
    <w:rsid w:val="00E72815"/>
    <w:rsid w:val="00F4793F"/>
    <w:rsid w:val="00F5045D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paragraph" w:styleId="1">
    <w:name w:val="heading 1"/>
    <w:basedOn w:val="a"/>
    <w:link w:val="10"/>
    <w:uiPriority w:val="9"/>
    <w:qFormat/>
    <w:rsid w:val="001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733A3"/>
    <w:rPr>
      <w:i/>
      <w:iCs/>
    </w:rPr>
  </w:style>
  <w:style w:type="character" w:styleId="a4">
    <w:name w:val="Strong"/>
    <w:basedOn w:val="a0"/>
    <w:uiPriority w:val="22"/>
    <w:qFormat/>
    <w:rsid w:val="00173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46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421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8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9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8569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2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1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4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0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8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5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813940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12" w:color="BFD0FF"/>
                                                                                                <w:left w:val="single" w:sz="6" w:space="12" w:color="BFD0FF"/>
                                                                                                <w:bottom w:val="single" w:sz="6" w:space="12" w:color="BFD0FF"/>
                                                                                                <w:right w:val="single" w:sz="6" w:space="12" w:color="BFD0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2019-02-19T06:29:00Z</dcterms:created>
  <dcterms:modified xsi:type="dcterms:W3CDTF">2019-02-19T06:30:00Z</dcterms:modified>
</cp:coreProperties>
</file>